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4FE" w:rsidRPr="006F04FE" w:rsidRDefault="006F04FE" w:rsidP="006F04FE">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F04FE">
        <w:rPr>
          <w:rFonts w:ascii="Times New Roman" w:eastAsia="Times New Roman" w:hAnsi="Times New Roman" w:cs="Times New Roman"/>
          <w:b/>
          <w:bCs/>
          <w:kern w:val="36"/>
          <w:sz w:val="48"/>
          <w:szCs w:val="48"/>
        </w:rPr>
        <w:t>Understanding the SQL Server NOLOCK hint</w:t>
      </w:r>
    </w:p>
    <w:p w:rsidR="006F04FE" w:rsidRPr="006F04FE" w:rsidRDefault="006F04FE" w:rsidP="006F04FE">
      <w:pPr>
        <w:spacing w:after="0" w:line="240" w:lineRule="auto"/>
        <w:jc w:val="center"/>
        <w:rPr>
          <w:rFonts w:ascii="Times New Roman" w:eastAsia="Times New Roman" w:hAnsi="Times New Roman" w:cs="Times New Roman"/>
          <w:sz w:val="24"/>
          <w:szCs w:val="24"/>
        </w:rPr>
      </w:pPr>
    </w:p>
    <w:p w:rsidR="006F04FE" w:rsidRPr="006F04FE" w:rsidRDefault="006F04FE" w:rsidP="006F04FE">
      <w:pPr>
        <w:spacing w:before="100" w:beforeAutospacing="1" w:after="100" w:afterAutospacing="1" w:line="240" w:lineRule="auto"/>
        <w:outlineLvl w:val="5"/>
        <w:rPr>
          <w:rFonts w:ascii="Times New Roman" w:eastAsia="Times New Roman" w:hAnsi="Times New Roman" w:cs="Times New Roman"/>
          <w:b/>
          <w:bCs/>
          <w:sz w:val="15"/>
          <w:szCs w:val="15"/>
        </w:rPr>
      </w:pPr>
      <w:r w:rsidRPr="006F04FE">
        <w:rPr>
          <w:rFonts w:ascii="Times New Roman" w:eastAsia="Times New Roman" w:hAnsi="Times New Roman" w:cs="Times New Roman"/>
          <w:b/>
          <w:bCs/>
          <w:sz w:val="15"/>
          <w:szCs w:val="15"/>
        </w:rPr>
        <w:t xml:space="preserve">By: </w:t>
      </w:r>
      <w:hyperlink r:id="rId6" w:tooltip="author profile for Greg Robidoux" w:history="1">
        <w:r w:rsidRPr="006F04FE">
          <w:rPr>
            <w:rFonts w:ascii="Times New Roman" w:eastAsia="Times New Roman" w:hAnsi="Times New Roman" w:cs="Times New Roman"/>
            <w:b/>
            <w:bCs/>
            <w:color w:val="0000FF"/>
            <w:sz w:val="15"/>
            <w:szCs w:val="15"/>
            <w:u w:val="single"/>
          </w:rPr>
          <w:t xml:space="preserve">Greg </w:t>
        </w:r>
        <w:proofErr w:type="spellStart"/>
        <w:r w:rsidRPr="006F04FE">
          <w:rPr>
            <w:rFonts w:ascii="Times New Roman" w:eastAsia="Times New Roman" w:hAnsi="Times New Roman" w:cs="Times New Roman"/>
            <w:b/>
            <w:bCs/>
            <w:color w:val="0000FF"/>
            <w:sz w:val="15"/>
            <w:szCs w:val="15"/>
            <w:u w:val="single"/>
          </w:rPr>
          <w:t>Robidoux</w:t>
        </w:r>
        <w:proofErr w:type="spellEnd"/>
      </w:hyperlink>
      <w:r w:rsidRPr="006F04FE">
        <w:rPr>
          <w:rFonts w:ascii="Times New Roman" w:eastAsia="Times New Roman" w:hAnsi="Times New Roman" w:cs="Times New Roman"/>
          <w:b/>
          <w:bCs/>
          <w:sz w:val="15"/>
          <w:szCs w:val="15"/>
        </w:rPr>
        <w:t xml:space="preserve">   |   </w:t>
      </w:r>
      <w:hyperlink r:id="rId7" w:anchor="comments" w:tooltip="read and post comments" w:history="1">
        <w:r w:rsidRPr="006F04FE">
          <w:rPr>
            <w:rFonts w:ascii="Times New Roman" w:eastAsia="Times New Roman" w:hAnsi="Times New Roman" w:cs="Times New Roman"/>
            <w:b/>
            <w:bCs/>
            <w:color w:val="0000FF"/>
            <w:sz w:val="15"/>
            <w:szCs w:val="15"/>
            <w:u w:val="single"/>
          </w:rPr>
          <w:t>Read Comments (38)</w:t>
        </w:r>
      </w:hyperlink>
      <w:r w:rsidRPr="006F04FE">
        <w:rPr>
          <w:rFonts w:ascii="Times New Roman" w:eastAsia="Times New Roman" w:hAnsi="Times New Roman" w:cs="Times New Roman"/>
          <w:b/>
          <w:bCs/>
          <w:sz w:val="15"/>
          <w:szCs w:val="15"/>
        </w:rPr>
        <w:t xml:space="preserve">   |   Related Tips: </w:t>
      </w:r>
      <w:hyperlink r:id="rId8" w:history="1">
        <w:r w:rsidRPr="006F04FE">
          <w:rPr>
            <w:rFonts w:ascii="Times New Roman" w:eastAsia="Times New Roman" w:hAnsi="Times New Roman" w:cs="Times New Roman"/>
            <w:b/>
            <w:bCs/>
            <w:color w:val="0000FF"/>
            <w:sz w:val="15"/>
            <w:szCs w:val="15"/>
            <w:u w:val="single"/>
          </w:rPr>
          <w:t>1</w:t>
        </w:r>
      </w:hyperlink>
      <w:r w:rsidRPr="006F04FE">
        <w:rPr>
          <w:rFonts w:ascii="Times New Roman" w:eastAsia="Times New Roman" w:hAnsi="Times New Roman" w:cs="Times New Roman"/>
          <w:b/>
          <w:bCs/>
          <w:sz w:val="15"/>
          <w:szCs w:val="15"/>
        </w:rPr>
        <w:t xml:space="preserve"> | </w:t>
      </w:r>
      <w:hyperlink r:id="rId9" w:history="1">
        <w:r w:rsidRPr="006F04FE">
          <w:rPr>
            <w:rFonts w:ascii="Times New Roman" w:eastAsia="Times New Roman" w:hAnsi="Times New Roman" w:cs="Times New Roman"/>
            <w:b/>
            <w:bCs/>
            <w:color w:val="0000FF"/>
            <w:sz w:val="15"/>
            <w:szCs w:val="15"/>
            <w:u w:val="single"/>
          </w:rPr>
          <w:t>2</w:t>
        </w:r>
      </w:hyperlink>
      <w:r w:rsidRPr="006F04FE">
        <w:rPr>
          <w:rFonts w:ascii="Times New Roman" w:eastAsia="Times New Roman" w:hAnsi="Times New Roman" w:cs="Times New Roman"/>
          <w:b/>
          <w:bCs/>
          <w:sz w:val="15"/>
          <w:szCs w:val="15"/>
        </w:rPr>
        <w:t xml:space="preserve"> | </w:t>
      </w:r>
      <w:hyperlink r:id="rId10" w:history="1">
        <w:r w:rsidRPr="006F04FE">
          <w:rPr>
            <w:rFonts w:ascii="Times New Roman" w:eastAsia="Times New Roman" w:hAnsi="Times New Roman" w:cs="Times New Roman"/>
            <w:b/>
            <w:bCs/>
            <w:color w:val="0000FF"/>
            <w:sz w:val="15"/>
            <w:szCs w:val="15"/>
            <w:u w:val="single"/>
          </w:rPr>
          <w:t>3</w:t>
        </w:r>
      </w:hyperlink>
      <w:r w:rsidRPr="006F04FE">
        <w:rPr>
          <w:rFonts w:ascii="Times New Roman" w:eastAsia="Times New Roman" w:hAnsi="Times New Roman" w:cs="Times New Roman"/>
          <w:b/>
          <w:bCs/>
          <w:sz w:val="15"/>
          <w:szCs w:val="15"/>
        </w:rPr>
        <w:t xml:space="preserve"> | </w:t>
      </w:r>
      <w:hyperlink r:id="rId11" w:history="1">
        <w:r w:rsidRPr="006F04FE">
          <w:rPr>
            <w:rFonts w:ascii="Times New Roman" w:eastAsia="Times New Roman" w:hAnsi="Times New Roman" w:cs="Times New Roman"/>
            <w:b/>
            <w:bCs/>
            <w:color w:val="0000FF"/>
            <w:sz w:val="15"/>
            <w:szCs w:val="15"/>
            <w:u w:val="single"/>
          </w:rPr>
          <w:t>4</w:t>
        </w:r>
      </w:hyperlink>
      <w:r w:rsidRPr="006F04FE">
        <w:rPr>
          <w:rFonts w:ascii="Times New Roman" w:eastAsia="Times New Roman" w:hAnsi="Times New Roman" w:cs="Times New Roman"/>
          <w:b/>
          <w:bCs/>
          <w:sz w:val="15"/>
          <w:szCs w:val="15"/>
        </w:rPr>
        <w:t xml:space="preserve"> | </w:t>
      </w:r>
      <w:hyperlink r:id="rId12" w:history="1">
        <w:r w:rsidRPr="006F04FE">
          <w:rPr>
            <w:rFonts w:ascii="Times New Roman" w:eastAsia="Times New Roman" w:hAnsi="Times New Roman" w:cs="Times New Roman"/>
            <w:b/>
            <w:bCs/>
            <w:color w:val="0000FF"/>
            <w:sz w:val="15"/>
            <w:szCs w:val="15"/>
            <w:u w:val="single"/>
          </w:rPr>
          <w:t>5</w:t>
        </w:r>
      </w:hyperlink>
      <w:r w:rsidRPr="006F04FE">
        <w:rPr>
          <w:rFonts w:ascii="Times New Roman" w:eastAsia="Times New Roman" w:hAnsi="Times New Roman" w:cs="Times New Roman"/>
          <w:b/>
          <w:bCs/>
          <w:sz w:val="15"/>
          <w:szCs w:val="15"/>
        </w:rPr>
        <w:t xml:space="preserve"> | </w:t>
      </w:r>
      <w:hyperlink r:id="rId13" w:history="1">
        <w:r w:rsidRPr="006F04FE">
          <w:rPr>
            <w:rFonts w:ascii="Times New Roman" w:eastAsia="Times New Roman" w:hAnsi="Times New Roman" w:cs="Times New Roman"/>
            <w:b/>
            <w:bCs/>
            <w:color w:val="0000FF"/>
            <w:sz w:val="15"/>
            <w:szCs w:val="15"/>
            <w:u w:val="single"/>
          </w:rPr>
          <w:t>6</w:t>
        </w:r>
      </w:hyperlink>
      <w:r w:rsidRPr="006F04FE">
        <w:rPr>
          <w:rFonts w:ascii="Times New Roman" w:eastAsia="Times New Roman" w:hAnsi="Times New Roman" w:cs="Times New Roman"/>
          <w:b/>
          <w:bCs/>
          <w:sz w:val="15"/>
          <w:szCs w:val="15"/>
        </w:rPr>
        <w:t xml:space="preserve"> | </w:t>
      </w:r>
      <w:hyperlink r:id="rId14" w:history="1">
        <w:r w:rsidRPr="006F04FE">
          <w:rPr>
            <w:rFonts w:ascii="Times New Roman" w:eastAsia="Times New Roman" w:hAnsi="Times New Roman" w:cs="Times New Roman"/>
            <w:b/>
            <w:bCs/>
            <w:color w:val="0000FF"/>
            <w:sz w:val="15"/>
            <w:szCs w:val="15"/>
            <w:u w:val="single"/>
          </w:rPr>
          <w:t>More</w:t>
        </w:r>
      </w:hyperlink>
      <w:r w:rsidRPr="006F04FE">
        <w:rPr>
          <w:rFonts w:ascii="Times New Roman" w:eastAsia="Times New Roman" w:hAnsi="Times New Roman" w:cs="Times New Roman"/>
          <w:b/>
          <w:bCs/>
          <w:sz w:val="15"/>
          <w:szCs w:val="15"/>
        </w:rPr>
        <w:t xml:space="preserve"> &gt; </w:t>
      </w:r>
      <w:hyperlink r:id="rId15" w:history="1">
        <w:r w:rsidRPr="006F04FE">
          <w:rPr>
            <w:rFonts w:ascii="Times New Roman" w:eastAsia="Times New Roman" w:hAnsi="Times New Roman" w:cs="Times New Roman"/>
            <w:b/>
            <w:bCs/>
            <w:color w:val="0000FF"/>
            <w:sz w:val="15"/>
            <w:szCs w:val="15"/>
            <w:u w:val="single"/>
          </w:rPr>
          <w:t>Locking and Blocking</w:t>
        </w:r>
      </w:hyperlink>
    </w:p>
    <w:p w:rsidR="006F04FE" w:rsidRPr="006F04FE" w:rsidRDefault="006F04FE" w:rsidP="006F04FE">
      <w:pPr>
        <w:spacing w:after="0" w:line="240" w:lineRule="auto"/>
        <w:rPr>
          <w:rFonts w:ascii="Times New Roman" w:eastAsia="Times New Roman" w:hAnsi="Times New Roman" w:cs="Times New Roman"/>
          <w:sz w:val="24"/>
          <w:szCs w:val="24"/>
        </w:rPr>
      </w:pPr>
    </w:p>
    <w:p w:rsidR="006F04FE" w:rsidRPr="006F04FE" w:rsidRDefault="006F04FE" w:rsidP="006F04FE">
      <w:pPr>
        <w:spacing w:before="100" w:beforeAutospacing="1" w:after="100" w:afterAutospacing="1" w:line="240" w:lineRule="auto"/>
        <w:outlineLvl w:val="4"/>
        <w:rPr>
          <w:rFonts w:ascii="Times New Roman" w:eastAsia="Times New Roman" w:hAnsi="Times New Roman" w:cs="Times New Roman"/>
          <w:b/>
          <w:bCs/>
          <w:sz w:val="20"/>
          <w:szCs w:val="20"/>
        </w:rPr>
      </w:pPr>
      <w:r w:rsidRPr="006F04FE">
        <w:rPr>
          <w:rFonts w:ascii="Times New Roman" w:eastAsia="Times New Roman" w:hAnsi="Times New Roman" w:cs="Times New Roman"/>
          <w:b/>
          <w:bCs/>
          <w:sz w:val="20"/>
          <w:szCs w:val="20"/>
        </w:rPr>
        <w:t>Problem</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I see the use of the NOLOCK hint in existing code for my stored procedures and I am not exactly sure if this is helpful or not. It seems like this has been a practice that was put in place and now is throughout all of the code wherever there are SELECT statements. Can you explain the what NOLOCK does and whether this is a good practice or not?</w:t>
      </w:r>
    </w:p>
    <w:p w:rsidR="006F04FE" w:rsidRPr="006F04FE" w:rsidRDefault="006F04FE" w:rsidP="006F04FE">
      <w:pPr>
        <w:spacing w:before="100" w:beforeAutospacing="1" w:after="100" w:afterAutospacing="1" w:line="240" w:lineRule="auto"/>
        <w:outlineLvl w:val="4"/>
        <w:rPr>
          <w:rFonts w:ascii="Times New Roman" w:eastAsia="Times New Roman" w:hAnsi="Times New Roman" w:cs="Times New Roman"/>
          <w:b/>
          <w:bCs/>
          <w:sz w:val="20"/>
          <w:szCs w:val="20"/>
        </w:rPr>
      </w:pPr>
      <w:r w:rsidRPr="006F04FE">
        <w:rPr>
          <w:rFonts w:ascii="Times New Roman" w:eastAsia="Times New Roman" w:hAnsi="Times New Roman" w:cs="Times New Roman"/>
          <w:b/>
          <w:bCs/>
          <w:sz w:val="20"/>
          <w:szCs w:val="20"/>
        </w:rPr>
        <w:t>Solution</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It seems that in some SQL Server shops the use of the NOLOCK (aka READUNCOMMITED) hint is used throughout the application. In this tip we take a closer look at how this works and what the issues maybe when using NOLOCK.</w:t>
      </w:r>
    </w:p>
    <w:p w:rsidR="006F04FE" w:rsidRPr="006F04FE" w:rsidRDefault="006F04FE" w:rsidP="006F04FE">
      <w:pPr>
        <w:spacing w:before="100" w:beforeAutospacing="1" w:after="100" w:afterAutospacing="1" w:line="240" w:lineRule="auto"/>
        <w:outlineLvl w:val="2"/>
        <w:rPr>
          <w:rFonts w:ascii="Times New Roman" w:eastAsia="Times New Roman" w:hAnsi="Times New Roman" w:cs="Times New Roman"/>
          <w:b/>
          <w:bCs/>
          <w:sz w:val="27"/>
          <w:szCs w:val="27"/>
        </w:rPr>
      </w:pPr>
      <w:r w:rsidRPr="006F04FE">
        <w:rPr>
          <w:rFonts w:ascii="Times New Roman" w:eastAsia="Times New Roman" w:hAnsi="Times New Roman" w:cs="Times New Roman"/>
          <w:b/>
          <w:bCs/>
          <w:sz w:val="27"/>
          <w:szCs w:val="27"/>
        </w:rPr>
        <w:t>Example</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Let's walk through some simple examples to see how this works. (These queries are run against the </w:t>
      </w:r>
      <w:proofErr w:type="spellStart"/>
      <w:r w:rsidRPr="006F04FE">
        <w:rPr>
          <w:rFonts w:ascii="Times New Roman" w:eastAsia="Times New Roman" w:hAnsi="Times New Roman" w:cs="Times New Roman"/>
          <w:sz w:val="24"/>
          <w:szCs w:val="24"/>
        </w:rPr>
        <w:t>AdventureWorks</w:t>
      </w:r>
      <w:proofErr w:type="spellEnd"/>
      <w:r w:rsidRPr="006F04FE">
        <w:rPr>
          <w:rFonts w:ascii="Times New Roman" w:eastAsia="Times New Roman" w:hAnsi="Times New Roman" w:cs="Times New Roman"/>
          <w:sz w:val="24"/>
          <w:szCs w:val="24"/>
        </w:rPr>
        <w:t xml:space="preserve"> database.)</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Here is a query that returns all of the data from the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table. If I run this query I can see there is only one record that has a Suffix value for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 12.</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SELECT * F</w:t>
      </w:r>
      <w:bookmarkStart w:id="0" w:name="_GoBack"/>
      <w:bookmarkEnd w:id="0"/>
      <w:r w:rsidRPr="006F04FE">
        <w:rPr>
          <w:rFonts w:ascii="Times New Roman" w:eastAsia="Times New Roman" w:hAnsi="Times New Roman" w:cs="Times New Roman"/>
          <w:sz w:val="24"/>
          <w:szCs w:val="24"/>
        </w:rPr>
        <w:t xml:space="preserve">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941820" cy="3665220"/>
            <wp:effectExtent l="0" t="0" r="0" b="0"/>
            <wp:docPr id="8" name="Picture 8" descr="use of the nolock(aka readuncommited) h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of the nolock(aka readuncommited) hi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41820" cy="3665220"/>
                    </a:xfrm>
                    <a:prstGeom prst="rect">
                      <a:avLst/>
                    </a:prstGeom>
                    <a:noFill/>
                    <a:ln>
                      <a:noFill/>
                    </a:ln>
                  </pic:spPr>
                </pic:pic>
              </a:graphicData>
            </a:graphic>
          </wp:inline>
        </w:drawing>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Let's say another user runs the below query in a transaction. The query completes and updates the records, but it is not yet committed to the database so the records are locked.</w:t>
      </w:r>
    </w:p>
    <w:p w:rsidR="006F04FE" w:rsidRPr="006F04FE" w:rsidRDefault="006F04FE" w:rsidP="006F0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F04FE">
        <w:rPr>
          <w:rFonts w:ascii="Courier New" w:eastAsia="Times New Roman" w:hAnsi="Courier New" w:cs="Courier New"/>
          <w:sz w:val="20"/>
          <w:szCs w:val="20"/>
        </w:rPr>
        <w:t>-- run in query window 1</w:t>
      </w:r>
    </w:p>
    <w:p w:rsidR="006F04FE" w:rsidRPr="006F04FE" w:rsidRDefault="006F04FE" w:rsidP="006F0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F04FE">
        <w:rPr>
          <w:rFonts w:ascii="Courier New" w:eastAsia="Times New Roman" w:hAnsi="Courier New" w:cs="Courier New"/>
          <w:sz w:val="20"/>
          <w:szCs w:val="20"/>
        </w:rPr>
        <w:t>BEGIN TRAN</w:t>
      </w:r>
    </w:p>
    <w:p w:rsidR="006F04FE" w:rsidRPr="006F04FE" w:rsidRDefault="006F04FE" w:rsidP="006F0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F04FE">
        <w:rPr>
          <w:rFonts w:ascii="Courier New" w:eastAsia="Times New Roman" w:hAnsi="Courier New" w:cs="Courier New"/>
          <w:sz w:val="20"/>
          <w:szCs w:val="20"/>
        </w:rPr>
        <w:t xml:space="preserve">UPDATE </w:t>
      </w:r>
      <w:proofErr w:type="spellStart"/>
      <w:r w:rsidRPr="006F04FE">
        <w:rPr>
          <w:rFonts w:ascii="Courier New" w:eastAsia="Times New Roman" w:hAnsi="Courier New" w:cs="Courier New"/>
          <w:sz w:val="20"/>
          <w:szCs w:val="20"/>
        </w:rPr>
        <w:t>Person.Contact</w:t>
      </w:r>
      <w:proofErr w:type="spellEnd"/>
      <w:r w:rsidRPr="006F04FE">
        <w:rPr>
          <w:rFonts w:ascii="Courier New" w:eastAsia="Times New Roman" w:hAnsi="Courier New" w:cs="Courier New"/>
          <w:sz w:val="20"/>
          <w:szCs w:val="20"/>
        </w:rPr>
        <w:t xml:space="preserve"> SET Suffix = 'B' WHERE </w:t>
      </w:r>
      <w:proofErr w:type="spellStart"/>
      <w:r w:rsidRPr="006F04FE">
        <w:rPr>
          <w:rFonts w:ascii="Courier New" w:eastAsia="Times New Roman" w:hAnsi="Courier New" w:cs="Courier New"/>
          <w:sz w:val="20"/>
          <w:szCs w:val="20"/>
        </w:rPr>
        <w:t>ContactID</w:t>
      </w:r>
      <w:proofErr w:type="spellEnd"/>
      <w:r w:rsidRPr="006F04FE">
        <w:rPr>
          <w:rFonts w:ascii="Courier New" w:eastAsia="Times New Roman" w:hAnsi="Courier New" w:cs="Courier New"/>
          <w:sz w:val="20"/>
          <w:szCs w:val="20"/>
        </w:rPr>
        <w:t xml:space="preserve"> &lt; 20</w:t>
      </w:r>
    </w:p>
    <w:p w:rsidR="006F04FE" w:rsidRPr="006F04FE" w:rsidRDefault="006F04FE" w:rsidP="006F0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6F04FE">
        <w:rPr>
          <w:rFonts w:ascii="Courier New" w:eastAsia="Times New Roman" w:hAnsi="Courier New" w:cs="Courier New"/>
          <w:sz w:val="20"/>
          <w:szCs w:val="20"/>
        </w:rPr>
        <w:t>-- ROLLBACK or COMMIT</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If I run the same query from above again you will notice that it never completes, because the UPDATE has not yet been committed. </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run in query window 2</w:t>
      </w:r>
      <w:r w:rsidRPr="006F04FE">
        <w:rPr>
          <w:rFonts w:ascii="Times New Roman" w:eastAsia="Times New Roman" w:hAnsi="Times New Roman" w:cs="Times New Roman"/>
          <w:sz w:val="24"/>
          <w:szCs w:val="24"/>
        </w:rPr>
        <w:b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If I run </w:t>
      </w:r>
      <w:r w:rsidRPr="006F04FE">
        <w:rPr>
          <w:rFonts w:ascii="Times New Roman" w:eastAsia="Times New Roman" w:hAnsi="Times New Roman" w:cs="Times New Roman"/>
          <w:b/>
          <w:bCs/>
          <w:sz w:val="24"/>
          <w:szCs w:val="24"/>
        </w:rPr>
        <w:t xml:space="preserve">sp_who2 </w:t>
      </w:r>
      <w:r w:rsidRPr="006F04FE">
        <w:rPr>
          <w:rFonts w:ascii="Times New Roman" w:eastAsia="Times New Roman" w:hAnsi="Times New Roman" w:cs="Times New Roman"/>
          <w:sz w:val="24"/>
          <w:szCs w:val="24"/>
        </w:rPr>
        <w:t>I can see that the SELECT statement is being blocked. I will need to either cancel this query or COMMIT or ROLLBACK the query in window one for this to complete. For this example I am going to cancel the SELECT query.</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152900" cy="571500"/>
            <wp:effectExtent l="0" t="0" r="0" b="0"/>
            <wp:docPr id="7" name="Picture 7" descr="commit or rollback qu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mit or rollback quer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2900" cy="571500"/>
                    </a:xfrm>
                    <a:prstGeom prst="rect">
                      <a:avLst/>
                    </a:prstGeom>
                    <a:noFill/>
                    <a:ln>
                      <a:noFill/>
                    </a:ln>
                  </pic:spPr>
                </pic:pic>
              </a:graphicData>
            </a:graphic>
          </wp:inline>
        </w:drawing>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To get around the locked records, I can use the NOLOCK hint as shown below and the query will complete even though the query in window 1 is still running and has not been committed or rolled back.</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lastRenderedPageBreak/>
        <w:t>-- run in query window 2</w:t>
      </w:r>
      <w:r w:rsidRPr="006F04FE">
        <w:rPr>
          <w:rFonts w:ascii="Times New Roman" w:eastAsia="Times New Roman" w:hAnsi="Times New Roman" w:cs="Times New Roman"/>
          <w:sz w:val="24"/>
          <w:szCs w:val="24"/>
        </w:rPr>
        <w:b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WITH (NOLOCK)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If you notice below the Suffix column now has "B" for all records. This is because the UPDATE in window 1 updated these records. Even though that transaction has not been committed, since we are using the NOLOCK hint SQL Server ignores the locks and returns the data. If the UPDATE is rolled back the data will revert back to what it looked like before, so this is considered a Dirty Read because this data may or may not exist depending on the final outcome in query window 1.</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926580" cy="3665220"/>
            <wp:effectExtent l="0" t="0" r="7620" b="0"/>
            <wp:docPr id="6" name="Picture 6" descr="using the nolock hint sql server ignores the loc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ing the nolock hint sql server ignores the locks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26580" cy="3665220"/>
                    </a:xfrm>
                    <a:prstGeom prst="rect">
                      <a:avLst/>
                    </a:prstGeom>
                    <a:noFill/>
                    <a:ln>
                      <a:noFill/>
                    </a:ln>
                  </pic:spPr>
                </pic:pic>
              </a:graphicData>
            </a:graphic>
          </wp:inline>
        </w:drawing>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If I rollback the UPDATE using the </w:t>
      </w:r>
      <w:r w:rsidRPr="006F04FE">
        <w:rPr>
          <w:rFonts w:ascii="Times New Roman" w:eastAsia="Times New Roman" w:hAnsi="Times New Roman" w:cs="Times New Roman"/>
          <w:b/>
          <w:bCs/>
          <w:sz w:val="24"/>
          <w:szCs w:val="24"/>
        </w:rPr>
        <w:t>ROLLBACK</w:t>
      </w:r>
      <w:r w:rsidRPr="006F04FE">
        <w:rPr>
          <w:rFonts w:ascii="Times New Roman" w:eastAsia="Times New Roman" w:hAnsi="Times New Roman" w:cs="Times New Roman"/>
          <w:sz w:val="24"/>
          <w:szCs w:val="24"/>
        </w:rPr>
        <w:t xml:space="preserve"> command and rerun the SELECT query we can see the Suffix is back to what it looked like before.</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run in query window 1</w:t>
      </w:r>
      <w:r w:rsidRPr="006F04FE">
        <w:rPr>
          <w:rFonts w:ascii="Times New Roman" w:eastAsia="Times New Roman" w:hAnsi="Times New Roman" w:cs="Times New Roman"/>
          <w:sz w:val="24"/>
          <w:szCs w:val="24"/>
        </w:rPr>
        <w:br/>
        <w:t>ROLLBACK</w:t>
      </w:r>
    </w:p>
    <w:p w:rsidR="006F04FE" w:rsidRPr="006F04FE" w:rsidRDefault="006F04FE" w:rsidP="006F04FE">
      <w:pPr>
        <w:spacing w:after="0" w:line="240" w:lineRule="auto"/>
        <w:rPr>
          <w:rFonts w:ascii="Times New Roman" w:eastAsia="Times New Roman" w:hAnsi="Times New Roman" w:cs="Times New Roman"/>
          <w:sz w:val="24"/>
          <w:szCs w:val="24"/>
        </w:rPr>
      </w:pP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run in query window 2</w:t>
      </w:r>
      <w:r w:rsidRPr="006F04FE">
        <w:rPr>
          <w:rFonts w:ascii="Times New Roman" w:eastAsia="Times New Roman" w:hAnsi="Times New Roman" w:cs="Times New Roman"/>
          <w:sz w:val="24"/>
          <w:szCs w:val="24"/>
        </w:rPr>
        <w:b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WITH (NOLOCK)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r w:rsidRPr="006F04FE">
        <w:rPr>
          <w:rFonts w:ascii="Times New Roman" w:eastAsia="Times New Roman" w:hAnsi="Times New Roman" w:cs="Times New Roman"/>
          <w:sz w:val="24"/>
          <w:szCs w:val="24"/>
        </w:rPr>
        <w:br/>
        <w:t>-- or</w:t>
      </w:r>
      <w:r w:rsidRPr="006F04FE">
        <w:rPr>
          <w:rFonts w:ascii="Times New Roman" w:eastAsia="Times New Roman" w:hAnsi="Times New Roman" w:cs="Times New Roman"/>
          <w:sz w:val="24"/>
          <w:szCs w:val="24"/>
        </w:rPr>
        <w:b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957060" cy="3634740"/>
            <wp:effectExtent l="0" t="0" r="0" b="3810"/>
            <wp:docPr id="5" name="Picture 5" descr="using the rollback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the rollback comman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57060" cy="3634740"/>
                    </a:xfrm>
                    <a:prstGeom prst="rect">
                      <a:avLst/>
                    </a:prstGeom>
                    <a:noFill/>
                    <a:ln>
                      <a:noFill/>
                    </a:ln>
                  </pic:spPr>
                </pic:pic>
              </a:graphicData>
            </a:graphic>
          </wp:inline>
        </w:drawing>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So the issue with using the NOLOCK hint is that there is the possibility of reading data that has been changed, but not yet committed to the database. If you are running reports and do not care if the data might be off then this is not an issue, but if you are creating transactions where the data needs to be in a consistent state you can see how the NOLOCK hint could return false data.</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pict>
          <v:rect id="_x0000_i1025" style="width:0;height:1.5pt" o:hralign="center" o:hrstd="t" o:hr="t" fillcolor="#a0a0a0" stroked="f"/>
        </w:pict>
      </w:r>
    </w:p>
    <w:p w:rsidR="006F04FE" w:rsidRPr="006F04FE" w:rsidRDefault="006F04FE" w:rsidP="006F04FE">
      <w:pPr>
        <w:spacing w:before="100" w:beforeAutospacing="1" w:after="100" w:afterAutospacing="1" w:line="240" w:lineRule="auto"/>
        <w:outlineLvl w:val="2"/>
        <w:rPr>
          <w:rFonts w:ascii="Times New Roman" w:eastAsia="Times New Roman" w:hAnsi="Times New Roman" w:cs="Times New Roman"/>
          <w:b/>
          <w:bCs/>
          <w:sz w:val="27"/>
          <w:szCs w:val="27"/>
        </w:rPr>
      </w:pPr>
      <w:r w:rsidRPr="006F04FE">
        <w:rPr>
          <w:rFonts w:ascii="Times New Roman" w:eastAsia="Times New Roman" w:hAnsi="Times New Roman" w:cs="Times New Roman"/>
          <w:b/>
          <w:bCs/>
          <w:sz w:val="27"/>
          <w:szCs w:val="27"/>
        </w:rPr>
        <w:t>Locks</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So what kind of locking is used when the NOLOCK hint is used.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If we run our SELECT without NOLOCK we can see the locks that are taken if we use </w:t>
      </w:r>
      <w:proofErr w:type="spellStart"/>
      <w:r w:rsidRPr="006F04FE">
        <w:rPr>
          <w:rFonts w:ascii="Times New Roman" w:eastAsia="Times New Roman" w:hAnsi="Times New Roman" w:cs="Times New Roman"/>
          <w:b/>
          <w:bCs/>
          <w:sz w:val="24"/>
          <w:szCs w:val="24"/>
        </w:rPr>
        <w:t>sp_lock</w:t>
      </w:r>
      <w:proofErr w:type="spellEnd"/>
      <w:r w:rsidRPr="006F04FE">
        <w:rPr>
          <w:rFonts w:ascii="Times New Roman" w:eastAsia="Times New Roman" w:hAnsi="Times New Roman" w:cs="Times New Roman"/>
          <w:sz w:val="24"/>
          <w:szCs w:val="24"/>
        </w:rPr>
        <w:t xml:space="preserve">. (To get the lock information I ran </w:t>
      </w:r>
      <w:proofErr w:type="spellStart"/>
      <w:r w:rsidRPr="006F04FE">
        <w:rPr>
          <w:rFonts w:ascii="Times New Roman" w:eastAsia="Times New Roman" w:hAnsi="Times New Roman" w:cs="Times New Roman"/>
          <w:sz w:val="24"/>
          <w:szCs w:val="24"/>
        </w:rPr>
        <w:t>sp_lock</w:t>
      </w:r>
      <w:proofErr w:type="spellEnd"/>
      <w:r w:rsidRPr="006F04FE">
        <w:rPr>
          <w:rFonts w:ascii="Times New Roman" w:eastAsia="Times New Roman" w:hAnsi="Times New Roman" w:cs="Times New Roman"/>
          <w:sz w:val="24"/>
          <w:szCs w:val="24"/>
        </w:rPr>
        <w:t xml:space="preserve"> in another query window while this was running.)</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72100" cy="929640"/>
            <wp:effectExtent l="0" t="0" r="0" b="3810"/>
            <wp:docPr id="4" name="Picture 4" descr="we can see the locks that are taken if we use sp_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 can see the locks that are taken if we use sp_loc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72100" cy="929640"/>
                    </a:xfrm>
                    <a:prstGeom prst="rect">
                      <a:avLst/>
                    </a:prstGeom>
                    <a:noFill/>
                    <a:ln>
                      <a:noFill/>
                    </a:ln>
                  </pic:spPr>
                </pic:pic>
              </a:graphicData>
            </a:graphic>
          </wp:inline>
        </w:drawing>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If we do the same for our SELECT with the NOLOCK we can see these locks.</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lastRenderedPageBreak/>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WITH (NOLOCK)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402580" cy="746760"/>
            <wp:effectExtent l="0" t="0" r="7620" b="0"/>
            <wp:docPr id="3" name="Picture 3" descr="sql server still creates a lock to make sure the data is consis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ql server still creates a lock to make sure the data is consisten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2580" cy="746760"/>
                    </a:xfrm>
                    <a:prstGeom prst="rect">
                      <a:avLst/>
                    </a:prstGeom>
                    <a:noFill/>
                    <a:ln>
                      <a:noFill/>
                    </a:ln>
                  </pic:spPr>
                </pic:pic>
              </a:graphicData>
            </a:graphic>
          </wp:inline>
        </w:drawing>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The differences are that there is a "S" shared access lock that is put on the page (PAG) that we are reading for the first 19 rows of data in the table when we don't use NOLOCK. Also, we are getting a </w:t>
      </w:r>
      <w:proofErr w:type="spellStart"/>
      <w:r w:rsidRPr="006F04FE">
        <w:rPr>
          <w:rFonts w:ascii="Times New Roman" w:eastAsia="Times New Roman" w:hAnsi="Times New Roman" w:cs="Times New Roman"/>
          <w:sz w:val="24"/>
          <w:szCs w:val="24"/>
        </w:rPr>
        <w:t>Sch</w:t>
      </w:r>
      <w:proofErr w:type="spellEnd"/>
      <w:r w:rsidRPr="006F04FE">
        <w:rPr>
          <w:rFonts w:ascii="Times New Roman" w:eastAsia="Times New Roman" w:hAnsi="Times New Roman" w:cs="Times New Roman"/>
          <w:sz w:val="24"/>
          <w:szCs w:val="24"/>
        </w:rPr>
        <w:t xml:space="preserve">-S lock versus an IS lock for the table (TAB).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So another thing to point out is that even when you just SELECT data SQL Server still creates a lock to make sure the data is consistent.</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These are the lock types and the lock modes that are used for the above two queries.</w:t>
      </w:r>
    </w:p>
    <w:p w:rsidR="006F04FE" w:rsidRPr="006F04FE" w:rsidRDefault="006F04FE" w:rsidP="006F04FE">
      <w:pPr>
        <w:spacing w:before="100" w:beforeAutospacing="1" w:after="100" w:afterAutospacing="1" w:line="240" w:lineRule="auto"/>
        <w:outlineLvl w:val="3"/>
        <w:rPr>
          <w:rFonts w:ascii="Times New Roman" w:eastAsia="Times New Roman" w:hAnsi="Times New Roman" w:cs="Times New Roman"/>
          <w:b/>
          <w:bCs/>
          <w:sz w:val="24"/>
          <w:szCs w:val="24"/>
        </w:rPr>
      </w:pPr>
      <w:r w:rsidRPr="006F04FE">
        <w:rPr>
          <w:rFonts w:ascii="Times New Roman" w:eastAsia="Times New Roman" w:hAnsi="Times New Roman" w:cs="Times New Roman"/>
          <w:b/>
          <w:bCs/>
          <w:sz w:val="24"/>
          <w:szCs w:val="24"/>
        </w:rPr>
        <w:t>Lock Types</w:t>
      </w:r>
    </w:p>
    <w:p w:rsidR="006F04FE" w:rsidRPr="006F04FE" w:rsidRDefault="006F04FE" w:rsidP="006F04F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MD - metadata lock </w:t>
      </w:r>
    </w:p>
    <w:p w:rsidR="006F04FE" w:rsidRPr="006F04FE" w:rsidRDefault="006F04FE" w:rsidP="006F04F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DB - database lock </w:t>
      </w:r>
    </w:p>
    <w:p w:rsidR="006F04FE" w:rsidRPr="006F04FE" w:rsidRDefault="006F04FE" w:rsidP="006F04F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TAB - table lock </w:t>
      </w:r>
    </w:p>
    <w:p w:rsidR="006F04FE" w:rsidRPr="006F04FE" w:rsidRDefault="006F04FE" w:rsidP="006F04F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PAG - page lock</w:t>
      </w:r>
    </w:p>
    <w:p w:rsidR="006F04FE" w:rsidRPr="006F04FE" w:rsidRDefault="006F04FE" w:rsidP="006F04FE">
      <w:pPr>
        <w:spacing w:before="100" w:beforeAutospacing="1" w:after="100" w:afterAutospacing="1" w:line="240" w:lineRule="auto"/>
        <w:outlineLvl w:val="3"/>
        <w:rPr>
          <w:rFonts w:ascii="Times New Roman" w:eastAsia="Times New Roman" w:hAnsi="Times New Roman" w:cs="Times New Roman"/>
          <w:b/>
          <w:bCs/>
          <w:sz w:val="24"/>
          <w:szCs w:val="24"/>
        </w:rPr>
      </w:pPr>
      <w:r w:rsidRPr="006F04FE">
        <w:rPr>
          <w:rFonts w:ascii="Times New Roman" w:eastAsia="Times New Roman" w:hAnsi="Times New Roman" w:cs="Times New Roman"/>
          <w:b/>
          <w:bCs/>
          <w:sz w:val="24"/>
          <w:szCs w:val="24"/>
        </w:rPr>
        <w:t>Mode</w:t>
      </w:r>
    </w:p>
    <w:p w:rsidR="006F04FE" w:rsidRPr="006F04FE" w:rsidRDefault="006F04FE" w:rsidP="006F04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S - Shared access </w:t>
      </w:r>
    </w:p>
    <w:p w:rsidR="006F04FE" w:rsidRPr="006F04FE" w:rsidRDefault="006F04FE" w:rsidP="006F04FE">
      <w:pPr>
        <w:numPr>
          <w:ilvl w:val="0"/>
          <w:numId w:val="2"/>
        </w:numPr>
        <w:spacing w:before="100" w:beforeAutospacing="1" w:after="100" w:afterAutospacing="1" w:line="240" w:lineRule="auto"/>
        <w:rPr>
          <w:rFonts w:ascii="Times New Roman" w:eastAsia="Times New Roman" w:hAnsi="Times New Roman" w:cs="Times New Roman"/>
          <w:sz w:val="24"/>
          <w:szCs w:val="24"/>
        </w:rPr>
      </w:pPr>
      <w:proofErr w:type="spellStart"/>
      <w:r w:rsidRPr="006F04FE">
        <w:rPr>
          <w:rFonts w:ascii="Times New Roman" w:eastAsia="Times New Roman" w:hAnsi="Times New Roman" w:cs="Times New Roman"/>
          <w:sz w:val="24"/>
          <w:szCs w:val="24"/>
        </w:rPr>
        <w:t>Sch</w:t>
      </w:r>
      <w:proofErr w:type="spellEnd"/>
      <w:r w:rsidRPr="006F04FE">
        <w:rPr>
          <w:rFonts w:ascii="Times New Roman" w:eastAsia="Times New Roman" w:hAnsi="Times New Roman" w:cs="Times New Roman"/>
          <w:sz w:val="24"/>
          <w:szCs w:val="24"/>
        </w:rPr>
        <w:t xml:space="preserve">-S - Schema stability makes sure the schema is not changed while object is in use </w:t>
      </w:r>
    </w:p>
    <w:p w:rsidR="006F04FE" w:rsidRPr="006F04FE" w:rsidRDefault="006F04FE" w:rsidP="006F04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IS - Intent shared indicates intention to use S locks</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pict>
          <v:rect id="_x0000_i1026" style="width:0;height:1.5pt" o:hralign="center" o:hrstd="t" o:hr="t" fillcolor="#a0a0a0" stroked="f"/>
        </w:pict>
      </w:r>
    </w:p>
    <w:p w:rsidR="006F04FE" w:rsidRPr="006F04FE" w:rsidRDefault="006F04FE" w:rsidP="006F04FE">
      <w:pPr>
        <w:spacing w:before="100" w:beforeAutospacing="1" w:after="100" w:afterAutospacing="1" w:line="240" w:lineRule="auto"/>
        <w:outlineLvl w:val="2"/>
        <w:rPr>
          <w:rFonts w:ascii="Times New Roman" w:eastAsia="Times New Roman" w:hAnsi="Times New Roman" w:cs="Times New Roman"/>
          <w:b/>
          <w:bCs/>
          <w:sz w:val="27"/>
          <w:szCs w:val="27"/>
        </w:rPr>
      </w:pPr>
      <w:r w:rsidRPr="006F04FE">
        <w:rPr>
          <w:rFonts w:ascii="Times New Roman" w:eastAsia="Times New Roman" w:hAnsi="Times New Roman" w:cs="Times New Roman"/>
          <w:b/>
          <w:bCs/>
          <w:sz w:val="27"/>
          <w:szCs w:val="27"/>
        </w:rPr>
        <w:t xml:space="preserve">READUNCOMMITED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The NOLOCK hint is the same as the READUNCOMMITED hint and can be used as follows with the same results.</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WITH (READUNCOMMITTED) </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pict>
          <v:rect id="_x0000_i1027" style="width:0;height:1.5pt" o:hralign="center" o:hrstd="t" o:hr="t" fillcolor="#a0a0a0" stroked="f"/>
        </w:pict>
      </w:r>
    </w:p>
    <w:p w:rsidR="006F04FE" w:rsidRPr="006F04FE" w:rsidRDefault="006F04FE" w:rsidP="006F04FE">
      <w:pPr>
        <w:spacing w:before="100" w:beforeAutospacing="1" w:after="100" w:afterAutospacing="1" w:line="240" w:lineRule="auto"/>
        <w:outlineLvl w:val="2"/>
        <w:rPr>
          <w:rFonts w:ascii="Times New Roman" w:eastAsia="Times New Roman" w:hAnsi="Times New Roman" w:cs="Times New Roman"/>
          <w:b/>
          <w:bCs/>
          <w:sz w:val="27"/>
          <w:szCs w:val="27"/>
        </w:rPr>
      </w:pPr>
      <w:r w:rsidRPr="006F04FE">
        <w:rPr>
          <w:rFonts w:ascii="Times New Roman" w:eastAsia="Times New Roman" w:hAnsi="Times New Roman" w:cs="Times New Roman"/>
          <w:b/>
          <w:bCs/>
          <w:sz w:val="27"/>
          <w:szCs w:val="27"/>
        </w:rPr>
        <w:t>SELECT statements only</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The NOLOCK and READUNCOMMITED hints are only allowed with SELECT statements. If we try to use this for an UPDATE, DELETE or INSERT we will get an error.</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UPDATE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with (NOLOCK) SET Suffix = 'B'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p>
    <w:p w:rsidR="006F04FE" w:rsidRPr="006F04FE" w:rsidRDefault="006F04FE" w:rsidP="006F04FE">
      <w:pPr>
        <w:spacing w:after="0" w:line="240" w:lineRule="auto"/>
        <w:rPr>
          <w:rFonts w:ascii="Times New Roman" w:eastAsia="Times New Roman" w:hAnsi="Times New Roman" w:cs="Times New Roman"/>
          <w:sz w:val="24"/>
          <w:szCs w:val="24"/>
        </w:rPr>
      </w:pPr>
    </w:p>
    <w:p w:rsidR="006F04FE" w:rsidRPr="006F04FE" w:rsidRDefault="006F04FE" w:rsidP="006F04FE">
      <w:pPr>
        <w:spacing w:after="0" w:line="240" w:lineRule="auto"/>
        <w:rPr>
          <w:rFonts w:ascii="Times New Roman" w:eastAsia="Times New Roman" w:hAnsi="Times New Roman" w:cs="Times New Roman"/>
          <w:sz w:val="24"/>
          <w:szCs w:val="24"/>
        </w:rPr>
      </w:pPr>
      <w:proofErr w:type="spellStart"/>
      <w:r w:rsidRPr="006F04FE">
        <w:rPr>
          <w:rFonts w:ascii="Times New Roman" w:eastAsia="Times New Roman" w:hAnsi="Times New Roman" w:cs="Times New Roman"/>
          <w:sz w:val="24"/>
          <w:szCs w:val="24"/>
        </w:rPr>
        <w:lastRenderedPageBreak/>
        <w:t>Msg</w:t>
      </w:r>
      <w:proofErr w:type="spellEnd"/>
      <w:r w:rsidRPr="006F04FE">
        <w:rPr>
          <w:rFonts w:ascii="Times New Roman" w:eastAsia="Times New Roman" w:hAnsi="Times New Roman" w:cs="Times New Roman"/>
          <w:sz w:val="24"/>
          <w:szCs w:val="24"/>
        </w:rPr>
        <w:t xml:space="preserve"> 1065, Level 15, State 1, Line 15 </w:t>
      </w:r>
      <w:r w:rsidRPr="006F04FE">
        <w:rPr>
          <w:rFonts w:ascii="Times New Roman" w:eastAsia="Times New Roman" w:hAnsi="Times New Roman" w:cs="Times New Roman"/>
          <w:sz w:val="24"/>
          <w:szCs w:val="24"/>
        </w:rPr>
        <w:br/>
        <w:t xml:space="preserve">The NOLOCK and READUNCOMMITTED lock hints are not allowed for target tables of INSERT, UPDATE, DELETE or MERGE statements. </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pict>
          <v:rect id="_x0000_i1028" style="width:0;height:1.5pt" o:hralign="center" o:hrstd="t" o:hr="t" fillcolor="#a0a0a0" stroked="f"/>
        </w:pict>
      </w:r>
    </w:p>
    <w:p w:rsidR="006F04FE" w:rsidRPr="006F04FE" w:rsidRDefault="006F04FE" w:rsidP="006F04FE">
      <w:pPr>
        <w:spacing w:before="100" w:beforeAutospacing="1" w:after="100" w:afterAutospacing="1" w:line="240" w:lineRule="auto"/>
        <w:outlineLvl w:val="2"/>
        <w:rPr>
          <w:rFonts w:ascii="Times New Roman" w:eastAsia="Times New Roman" w:hAnsi="Times New Roman" w:cs="Times New Roman"/>
          <w:b/>
          <w:bCs/>
          <w:sz w:val="27"/>
          <w:szCs w:val="27"/>
        </w:rPr>
      </w:pPr>
      <w:r w:rsidRPr="006F04FE">
        <w:rPr>
          <w:rFonts w:ascii="Times New Roman" w:eastAsia="Times New Roman" w:hAnsi="Times New Roman" w:cs="Times New Roman"/>
          <w:b/>
          <w:bCs/>
          <w:sz w:val="27"/>
          <w:szCs w:val="27"/>
        </w:rPr>
        <w:t>Schema Change Blocking</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Since a NOLOCK hint needs to get a </w:t>
      </w:r>
      <w:proofErr w:type="spellStart"/>
      <w:r w:rsidRPr="006F04FE">
        <w:rPr>
          <w:rFonts w:ascii="Times New Roman" w:eastAsia="Times New Roman" w:hAnsi="Times New Roman" w:cs="Times New Roman"/>
          <w:sz w:val="24"/>
          <w:szCs w:val="24"/>
        </w:rPr>
        <w:t>Sch</w:t>
      </w:r>
      <w:proofErr w:type="spellEnd"/>
      <w:r w:rsidRPr="006F04FE">
        <w:rPr>
          <w:rFonts w:ascii="Times New Roman" w:eastAsia="Times New Roman" w:hAnsi="Times New Roman" w:cs="Times New Roman"/>
          <w:sz w:val="24"/>
          <w:szCs w:val="24"/>
        </w:rPr>
        <w:t>-S (schema stability) lock, a SELECT using NOLOCK could still be blocked if a table is being altered and not committed. Here is an example.</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run in query window 1</w:t>
      </w:r>
      <w:r w:rsidRPr="006F04FE">
        <w:rPr>
          <w:rFonts w:ascii="Times New Roman" w:eastAsia="Times New Roman" w:hAnsi="Times New Roman" w:cs="Times New Roman"/>
          <w:sz w:val="24"/>
          <w:szCs w:val="24"/>
        </w:rPr>
        <w:br/>
        <w:t>BEGIN TRAN</w:t>
      </w:r>
      <w:r w:rsidRPr="006F04FE">
        <w:rPr>
          <w:rFonts w:ascii="Times New Roman" w:eastAsia="Times New Roman" w:hAnsi="Times New Roman" w:cs="Times New Roman"/>
          <w:sz w:val="24"/>
          <w:szCs w:val="24"/>
        </w:rPr>
        <w:br/>
        <w:t xml:space="preserve">ALTER TABLE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ADD </w:t>
      </w:r>
      <w:proofErr w:type="spellStart"/>
      <w:r w:rsidRPr="006F04FE">
        <w:rPr>
          <w:rFonts w:ascii="Times New Roman" w:eastAsia="Times New Roman" w:hAnsi="Times New Roman" w:cs="Times New Roman"/>
          <w:sz w:val="24"/>
          <w:szCs w:val="24"/>
        </w:rPr>
        <w:t>column_b</w:t>
      </w:r>
      <w:proofErr w:type="spellEnd"/>
      <w:r w:rsidRPr="006F04FE">
        <w:rPr>
          <w:rFonts w:ascii="Times New Roman" w:eastAsia="Times New Roman" w:hAnsi="Times New Roman" w:cs="Times New Roman"/>
          <w:sz w:val="24"/>
          <w:szCs w:val="24"/>
        </w:rPr>
        <w:t xml:space="preserve"> VARCHAR(20) NULL ; </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If we try to run our SELECT statement it will be blocked until the above is committed or rolled back.</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run in query window 2</w:t>
      </w:r>
      <w:r w:rsidRPr="006F04FE">
        <w:rPr>
          <w:rFonts w:ascii="Times New Roman" w:eastAsia="Times New Roman" w:hAnsi="Times New Roman" w:cs="Times New Roman"/>
          <w:sz w:val="24"/>
          <w:szCs w:val="24"/>
        </w:rPr>
        <w:b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WITH (NOLOCK)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pict>
          <v:rect id="_x0000_i1029" style="width:0;height:1.5pt" o:hralign="center" o:hrstd="t" o:hr="t" fillcolor="#a0a0a0" stroked="f"/>
        </w:pict>
      </w:r>
    </w:p>
    <w:p w:rsidR="006F04FE" w:rsidRPr="006F04FE" w:rsidRDefault="006F04FE" w:rsidP="006F04FE">
      <w:pPr>
        <w:spacing w:before="100" w:beforeAutospacing="1" w:after="100" w:afterAutospacing="1" w:line="240" w:lineRule="auto"/>
        <w:outlineLvl w:val="2"/>
        <w:rPr>
          <w:rFonts w:ascii="Times New Roman" w:eastAsia="Times New Roman" w:hAnsi="Times New Roman" w:cs="Times New Roman"/>
          <w:b/>
          <w:bCs/>
          <w:sz w:val="27"/>
          <w:szCs w:val="27"/>
        </w:rPr>
      </w:pPr>
      <w:r w:rsidRPr="006F04FE">
        <w:rPr>
          <w:rFonts w:ascii="Times New Roman" w:eastAsia="Times New Roman" w:hAnsi="Times New Roman" w:cs="Times New Roman"/>
          <w:b/>
          <w:bCs/>
          <w:sz w:val="27"/>
          <w:szCs w:val="27"/>
        </w:rPr>
        <w:t>Issues</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We mentioned above how you can get dirty reads using the NOLOCK hint. These are also other terms you may encounter for this hint.</w:t>
      </w:r>
    </w:p>
    <w:p w:rsidR="006F04FE" w:rsidRPr="006F04FE" w:rsidRDefault="006F04FE" w:rsidP="006F04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Dirty Reads - this occurs when updates are done, so the data you select could be different. </w:t>
      </w:r>
    </w:p>
    <w:p w:rsidR="006F04FE" w:rsidRPr="006F04FE" w:rsidRDefault="006F04FE" w:rsidP="006F04FE">
      <w:pPr>
        <w:numPr>
          <w:ilvl w:val="0"/>
          <w:numId w:val="3"/>
        </w:numPr>
        <w:spacing w:before="100" w:beforeAutospacing="1" w:after="100" w:afterAutospacing="1" w:line="240" w:lineRule="auto"/>
        <w:rPr>
          <w:rFonts w:ascii="Times New Roman" w:eastAsia="Times New Roman" w:hAnsi="Times New Roman" w:cs="Times New Roman"/>
          <w:sz w:val="24"/>
          <w:szCs w:val="24"/>
        </w:rPr>
      </w:pPr>
      <w:proofErr w:type="spellStart"/>
      <w:r w:rsidRPr="006F04FE">
        <w:rPr>
          <w:rFonts w:ascii="Times New Roman" w:eastAsia="Times New Roman" w:hAnsi="Times New Roman" w:cs="Times New Roman"/>
          <w:sz w:val="24"/>
          <w:szCs w:val="24"/>
        </w:rPr>
        <w:t>Nonrepeatable</w:t>
      </w:r>
      <w:proofErr w:type="spellEnd"/>
      <w:r w:rsidRPr="006F04FE">
        <w:rPr>
          <w:rFonts w:ascii="Times New Roman" w:eastAsia="Times New Roman" w:hAnsi="Times New Roman" w:cs="Times New Roman"/>
          <w:sz w:val="24"/>
          <w:szCs w:val="24"/>
        </w:rPr>
        <w:t xml:space="preserve"> Reads - this occurs when you need to read the data more than once and the data changes during that process </w:t>
      </w:r>
    </w:p>
    <w:p w:rsidR="006F04FE" w:rsidRPr="006F04FE" w:rsidRDefault="006F04FE" w:rsidP="006F04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Phantom Reads - occurs where data is inserted or deleted and the transaction is rolled back. So for the insert you will get more records and for the delete you will get less records.</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To learn more about these issues read this article: </w:t>
      </w:r>
      <w:hyperlink r:id="rId22" w:history="1">
        <w:r w:rsidRPr="006F04FE">
          <w:rPr>
            <w:rFonts w:ascii="Times New Roman" w:eastAsia="Times New Roman" w:hAnsi="Times New Roman" w:cs="Times New Roman"/>
            <w:color w:val="0000FF"/>
            <w:sz w:val="24"/>
            <w:szCs w:val="24"/>
            <w:u w:val="single"/>
          </w:rPr>
          <w:t>http://msdn.microsoft.com/en-us/library/ms190805.aspx</w:t>
        </w:r>
      </w:hyperlink>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pict>
          <v:rect id="_x0000_i1030" style="width:0;height:1.5pt" o:hralign="center" o:hrstd="t" o:hr="t" fillcolor="#a0a0a0" stroked="f"/>
        </w:pict>
      </w:r>
    </w:p>
    <w:p w:rsidR="006F04FE" w:rsidRPr="006F04FE" w:rsidRDefault="006F04FE" w:rsidP="006F04FE">
      <w:pPr>
        <w:spacing w:before="100" w:beforeAutospacing="1" w:after="100" w:afterAutospacing="1" w:line="240" w:lineRule="auto"/>
        <w:outlineLvl w:val="2"/>
        <w:rPr>
          <w:rFonts w:ascii="Times New Roman" w:eastAsia="Times New Roman" w:hAnsi="Times New Roman" w:cs="Times New Roman"/>
          <w:b/>
          <w:bCs/>
          <w:sz w:val="27"/>
          <w:szCs w:val="27"/>
        </w:rPr>
      </w:pPr>
      <w:r w:rsidRPr="006F04FE">
        <w:rPr>
          <w:rFonts w:ascii="Times New Roman" w:eastAsia="Times New Roman" w:hAnsi="Times New Roman" w:cs="Times New Roman"/>
          <w:b/>
          <w:bCs/>
          <w:sz w:val="27"/>
          <w:szCs w:val="27"/>
        </w:rPr>
        <w:t>Isolation Level</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You can also set the Isolation Level for all queries instead of using the NOLOCK or READUNCOMMITTED hint. The isolation level will apply the READUNCOMMITTED to all SELECT statements that are performed from when this is turned on until it is turned off.</w:t>
      </w:r>
    </w:p>
    <w:p w:rsidR="006F04FE" w:rsidRPr="006F04FE" w:rsidRDefault="006F04FE" w:rsidP="006F04FE">
      <w:p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lastRenderedPageBreak/>
        <w:t>In the example below, the two SELECT statements will use the READUNCOMMITED or NOLOCK hint and the UPDATE will still function as normal. This way you can set a whole batch of statements instead of modifying each query.</w:t>
      </w:r>
    </w:p>
    <w:p w:rsidR="006F04FE" w:rsidRPr="006F04FE" w:rsidRDefault="006F04FE" w:rsidP="006F04FE">
      <w:pPr>
        <w:spacing w:after="0"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SET TRANSACTION ISOLATION LEVEL READ UNCOMMITTED; -- turn it on</w:t>
      </w:r>
      <w:r w:rsidRPr="006F04FE">
        <w:rPr>
          <w:rFonts w:ascii="Times New Roman" w:eastAsia="Times New Roman" w:hAnsi="Times New Roman" w:cs="Times New Roman"/>
          <w:sz w:val="24"/>
          <w:szCs w:val="24"/>
        </w:rPr>
        <w:br/>
      </w:r>
      <w:r w:rsidRPr="006F04FE">
        <w:rPr>
          <w:rFonts w:ascii="Times New Roman" w:eastAsia="Times New Roman" w:hAnsi="Times New Roman" w:cs="Times New Roman"/>
          <w:sz w:val="24"/>
          <w:szCs w:val="24"/>
        </w:rPr>
        <w:b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r w:rsidRPr="006F04FE">
        <w:rPr>
          <w:rFonts w:ascii="Times New Roman" w:eastAsia="Times New Roman" w:hAnsi="Times New Roman" w:cs="Times New Roman"/>
          <w:sz w:val="24"/>
          <w:szCs w:val="24"/>
        </w:rPr>
        <w:br/>
      </w:r>
      <w:r w:rsidRPr="006F04FE">
        <w:rPr>
          <w:rFonts w:ascii="Times New Roman" w:eastAsia="Times New Roman" w:hAnsi="Times New Roman" w:cs="Times New Roman"/>
          <w:sz w:val="24"/>
          <w:szCs w:val="24"/>
        </w:rPr>
        <w:br/>
        <w:t xml:space="preserve">UPDATE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SET Suffix = 'B'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 1 </w:t>
      </w:r>
      <w:r w:rsidRPr="006F04FE">
        <w:rPr>
          <w:rFonts w:ascii="Times New Roman" w:eastAsia="Times New Roman" w:hAnsi="Times New Roman" w:cs="Times New Roman"/>
          <w:sz w:val="24"/>
          <w:szCs w:val="24"/>
        </w:rPr>
        <w:br/>
      </w:r>
      <w:r w:rsidRPr="006F04FE">
        <w:rPr>
          <w:rFonts w:ascii="Times New Roman" w:eastAsia="Times New Roman" w:hAnsi="Times New Roman" w:cs="Times New Roman"/>
          <w:sz w:val="24"/>
          <w:szCs w:val="24"/>
        </w:rPr>
        <w:br/>
        <w:t xml:space="preserve">SELECT * FROM </w:t>
      </w:r>
      <w:proofErr w:type="spellStart"/>
      <w:r w:rsidRPr="006F04FE">
        <w:rPr>
          <w:rFonts w:ascii="Times New Roman" w:eastAsia="Times New Roman" w:hAnsi="Times New Roman" w:cs="Times New Roman"/>
          <w:sz w:val="24"/>
          <w:szCs w:val="24"/>
        </w:rPr>
        <w:t>Person.Contact</w:t>
      </w:r>
      <w:proofErr w:type="spellEnd"/>
      <w:r w:rsidRPr="006F04FE">
        <w:rPr>
          <w:rFonts w:ascii="Times New Roman" w:eastAsia="Times New Roman" w:hAnsi="Times New Roman" w:cs="Times New Roman"/>
          <w:sz w:val="24"/>
          <w:szCs w:val="24"/>
        </w:rPr>
        <w:t xml:space="preserve"> WHERE </w:t>
      </w:r>
      <w:proofErr w:type="spellStart"/>
      <w:r w:rsidRPr="006F04FE">
        <w:rPr>
          <w:rFonts w:ascii="Times New Roman" w:eastAsia="Times New Roman" w:hAnsi="Times New Roman" w:cs="Times New Roman"/>
          <w:sz w:val="24"/>
          <w:szCs w:val="24"/>
        </w:rPr>
        <w:t>ContactID</w:t>
      </w:r>
      <w:proofErr w:type="spellEnd"/>
      <w:r w:rsidRPr="006F04FE">
        <w:rPr>
          <w:rFonts w:ascii="Times New Roman" w:eastAsia="Times New Roman" w:hAnsi="Times New Roman" w:cs="Times New Roman"/>
          <w:sz w:val="24"/>
          <w:szCs w:val="24"/>
        </w:rPr>
        <w:t xml:space="preserve"> &lt; 20 </w:t>
      </w:r>
      <w:r w:rsidRPr="006F04FE">
        <w:rPr>
          <w:rFonts w:ascii="Times New Roman" w:eastAsia="Times New Roman" w:hAnsi="Times New Roman" w:cs="Times New Roman"/>
          <w:sz w:val="24"/>
          <w:szCs w:val="24"/>
        </w:rPr>
        <w:br/>
      </w:r>
      <w:r w:rsidRPr="006F04FE">
        <w:rPr>
          <w:rFonts w:ascii="Times New Roman" w:eastAsia="Times New Roman" w:hAnsi="Times New Roman" w:cs="Times New Roman"/>
          <w:sz w:val="24"/>
          <w:szCs w:val="24"/>
        </w:rPr>
        <w:br/>
        <w:t>SET TRANSACTION ISOLATION LEVEL READ COMMITTED; -- turn it off</w:t>
      </w:r>
    </w:p>
    <w:p w:rsidR="006F04FE" w:rsidRPr="006F04FE" w:rsidRDefault="006F04FE" w:rsidP="006F04FE">
      <w:pPr>
        <w:spacing w:after="0" w:line="240" w:lineRule="auto"/>
        <w:rPr>
          <w:rFonts w:ascii="Times New Roman" w:eastAsia="Times New Roman" w:hAnsi="Times New Roman" w:cs="Times New Roman"/>
          <w:sz w:val="24"/>
          <w:szCs w:val="24"/>
        </w:rPr>
      </w:pPr>
    </w:p>
    <w:p w:rsidR="006F04FE" w:rsidRPr="006F04FE" w:rsidRDefault="006F04FE" w:rsidP="006F04FE">
      <w:pPr>
        <w:spacing w:before="100" w:beforeAutospacing="1" w:after="100" w:afterAutospacing="1" w:line="240" w:lineRule="auto"/>
        <w:outlineLvl w:val="4"/>
        <w:rPr>
          <w:rFonts w:ascii="Times New Roman" w:eastAsia="Times New Roman" w:hAnsi="Times New Roman" w:cs="Times New Roman"/>
          <w:b/>
          <w:bCs/>
          <w:sz w:val="20"/>
          <w:szCs w:val="20"/>
        </w:rPr>
      </w:pPr>
      <w:r w:rsidRPr="006F04FE">
        <w:rPr>
          <w:rFonts w:ascii="Times New Roman" w:eastAsia="Times New Roman" w:hAnsi="Times New Roman" w:cs="Times New Roman"/>
          <w:b/>
          <w:bCs/>
          <w:sz w:val="20"/>
          <w:szCs w:val="20"/>
        </w:rPr>
        <w:t>Next Steps</w:t>
      </w:r>
    </w:p>
    <w:p w:rsidR="006F04FE" w:rsidRPr="006F04FE" w:rsidRDefault="006F04FE" w:rsidP="006F04F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Now that you have a better understanding of how this works check your code to see if there are instances where the NOLOCK hint doesn't make sense. </w:t>
      </w:r>
    </w:p>
    <w:p w:rsidR="006F04FE" w:rsidRPr="006F04FE" w:rsidRDefault="006F04FE" w:rsidP="006F04F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F04FE">
        <w:rPr>
          <w:rFonts w:ascii="Times New Roman" w:eastAsia="Times New Roman" w:hAnsi="Times New Roman" w:cs="Times New Roman"/>
          <w:sz w:val="24"/>
          <w:szCs w:val="24"/>
        </w:rPr>
        <w:t xml:space="preserve">Review these related tips: </w:t>
      </w:r>
    </w:p>
    <w:p w:rsidR="006F04FE" w:rsidRPr="006F04FE" w:rsidRDefault="006F04FE" w:rsidP="006F04FE">
      <w:pPr>
        <w:numPr>
          <w:ilvl w:val="1"/>
          <w:numId w:val="4"/>
        </w:numPr>
        <w:spacing w:before="100" w:beforeAutospacing="1" w:after="100" w:afterAutospacing="1" w:line="240" w:lineRule="auto"/>
        <w:rPr>
          <w:rFonts w:ascii="Times New Roman" w:eastAsia="Times New Roman" w:hAnsi="Times New Roman" w:cs="Times New Roman"/>
          <w:sz w:val="24"/>
          <w:szCs w:val="24"/>
        </w:rPr>
      </w:pPr>
      <w:hyperlink r:id="rId23" w:history="1">
        <w:r w:rsidRPr="006F04FE">
          <w:rPr>
            <w:rFonts w:ascii="Times New Roman" w:eastAsia="Times New Roman" w:hAnsi="Times New Roman" w:cs="Times New Roman"/>
            <w:color w:val="0000FF"/>
            <w:sz w:val="24"/>
            <w:szCs w:val="24"/>
            <w:u w:val="single"/>
          </w:rPr>
          <w:t>Snapshot Isolation in SQL Server 2005</w:t>
        </w:r>
      </w:hyperlink>
      <w:r w:rsidRPr="006F04FE">
        <w:rPr>
          <w:rFonts w:ascii="Times New Roman" w:eastAsia="Times New Roman" w:hAnsi="Times New Roman" w:cs="Times New Roman"/>
          <w:sz w:val="24"/>
          <w:szCs w:val="24"/>
        </w:rPr>
        <w:t xml:space="preserve"> </w:t>
      </w:r>
    </w:p>
    <w:p w:rsidR="006F04FE" w:rsidRPr="006F04FE" w:rsidRDefault="006F04FE" w:rsidP="006F04FE">
      <w:pPr>
        <w:numPr>
          <w:ilvl w:val="1"/>
          <w:numId w:val="4"/>
        </w:numPr>
        <w:spacing w:before="100" w:beforeAutospacing="1" w:after="100" w:afterAutospacing="1" w:line="240" w:lineRule="auto"/>
        <w:rPr>
          <w:rFonts w:ascii="Times New Roman" w:eastAsia="Times New Roman" w:hAnsi="Times New Roman" w:cs="Times New Roman"/>
          <w:sz w:val="24"/>
          <w:szCs w:val="24"/>
        </w:rPr>
      </w:pPr>
      <w:hyperlink r:id="rId24" w:history="1">
        <w:r w:rsidRPr="006F04FE">
          <w:rPr>
            <w:rFonts w:ascii="Times New Roman" w:eastAsia="Times New Roman" w:hAnsi="Times New Roman" w:cs="Times New Roman"/>
            <w:color w:val="0000FF"/>
            <w:sz w:val="24"/>
            <w:szCs w:val="24"/>
            <w:u w:val="single"/>
          </w:rPr>
          <w:t>SQL Server DBA Concurrency and Locking Interview Questions</w:t>
        </w:r>
      </w:hyperlink>
      <w:r w:rsidRPr="006F04FE">
        <w:rPr>
          <w:rFonts w:ascii="Times New Roman" w:eastAsia="Times New Roman" w:hAnsi="Times New Roman" w:cs="Times New Roman"/>
          <w:sz w:val="24"/>
          <w:szCs w:val="24"/>
        </w:rPr>
        <w:t xml:space="preserve"> </w:t>
      </w:r>
    </w:p>
    <w:p w:rsidR="006F04FE" w:rsidRDefault="006F04FE" w:rsidP="006F04FE">
      <w:pPr>
        <w:spacing w:after="240" w:line="240" w:lineRule="auto"/>
        <w:rPr>
          <w:rFonts w:ascii="Times New Roman" w:eastAsia="Times New Roman" w:hAnsi="Times New Roman" w:cs="Times New Roman"/>
          <w:b/>
          <w:bCs/>
          <w:sz w:val="20"/>
          <w:szCs w:val="20"/>
        </w:rPr>
      </w:pPr>
      <w:r w:rsidRPr="006F04FE">
        <w:rPr>
          <w:rFonts w:ascii="Times New Roman" w:eastAsia="Times New Roman" w:hAnsi="Times New Roman" w:cs="Times New Roman"/>
          <w:sz w:val="24"/>
          <w:szCs w:val="24"/>
        </w:rPr>
        <w:br/>
      </w:r>
      <w:r w:rsidRPr="006F04FE">
        <w:rPr>
          <w:rFonts w:ascii="Times New Roman" w:eastAsia="Times New Roman" w:hAnsi="Times New Roman" w:cs="Times New Roman"/>
          <w:sz w:val="24"/>
          <w:szCs w:val="24"/>
        </w:rPr>
        <w:br/>
        <w:t xml:space="preserve">Last Update: 8/16/2011 </w:t>
      </w:r>
      <w:r w:rsidRPr="006F04FE">
        <w:rPr>
          <w:rFonts w:ascii="Times New Roman" w:eastAsia="Times New Roman" w:hAnsi="Times New Roman" w:cs="Times New Roman"/>
          <w:sz w:val="24"/>
          <w:szCs w:val="24"/>
        </w:rPr>
        <w:br/>
      </w:r>
    </w:p>
    <w:p w:rsidR="006F04FE" w:rsidRPr="006F04FE" w:rsidRDefault="006F04FE" w:rsidP="006F04FE">
      <w:pPr>
        <w:spacing w:after="240" w:line="240" w:lineRule="auto"/>
        <w:rPr>
          <w:rFonts w:ascii="Times New Roman" w:eastAsia="Times New Roman" w:hAnsi="Times New Roman" w:cs="Times New Roman"/>
          <w:b/>
          <w:bCs/>
          <w:sz w:val="20"/>
          <w:szCs w:val="20"/>
        </w:rPr>
      </w:pPr>
      <w:r w:rsidRPr="006F04FE">
        <w:rPr>
          <w:rFonts w:ascii="Times New Roman" w:eastAsia="Times New Roman" w:hAnsi="Times New Roman" w:cs="Times New Roman"/>
          <w:b/>
          <w:bCs/>
          <w:sz w:val="20"/>
          <w:szCs w:val="20"/>
        </w:rPr>
        <w:t>About the author</w:t>
      </w:r>
    </w:p>
    <w:p w:rsidR="008B6026" w:rsidRPr="006F04FE" w:rsidRDefault="006F04FE" w:rsidP="006F04F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14:anchorId="11790B9D" wp14:editId="6BBF3011">
            <wp:extent cx="571500" cy="861060"/>
            <wp:effectExtent l="0" t="0" r="0" b="0"/>
            <wp:docPr id="1" name="Picture 1" descr="MSSQLTips author Greg Robidoux">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SSQLTips author Greg Robidoux"/>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500" cy="861060"/>
                    </a:xfrm>
                    <a:prstGeom prst="rect">
                      <a:avLst/>
                    </a:prstGeom>
                    <a:noFill/>
                    <a:ln>
                      <a:noFill/>
                    </a:ln>
                  </pic:spPr>
                </pic:pic>
              </a:graphicData>
            </a:graphic>
          </wp:inline>
        </w:drawing>
      </w:r>
      <w:r w:rsidRPr="006F04FE">
        <w:rPr>
          <w:rFonts w:ascii="Times New Roman" w:eastAsia="Times New Roman" w:hAnsi="Times New Roman" w:cs="Times New Roman"/>
          <w:sz w:val="24"/>
          <w:szCs w:val="24"/>
        </w:rPr>
        <w:t xml:space="preserve">Greg </w:t>
      </w:r>
      <w:proofErr w:type="spellStart"/>
      <w:r w:rsidRPr="006F04FE">
        <w:rPr>
          <w:rFonts w:ascii="Times New Roman" w:eastAsia="Times New Roman" w:hAnsi="Times New Roman" w:cs="Times New Roman"/>
          <w:sz w:val="24"/>
          <w:szCs w:val="24"/>
        </w:rPr>
        <w:t>Robidoux</w:t>
      </w:r>
      <w:proofErr w:type="spellEnd"/>
      <w:r w:rsidRPr="006F04FE">
        <w:rPr>
          <w:rFonts w:ascii="Times New Roman" w:eastAsia="Times New Roman" w:hAnsi="Times New Roman" w:cs="Times New Roman"/>
          <w:sz w:val="24"/>
          <w:szCs w:val="24"/>
        </w:rPr>
        <w:t xml:space="preserve"> is the President of Edgewood Solutions and </w:t>
      </w:r>
      <w:r>
        <w:rPr>
          <w:rFonts w:ascii="Times New Roman" w:eastAsia="Times New Roman" w:hAnsi="Times New Roman" w:cs="Times New Roman"/>
          <w:sz w:val="24"/>
          <w:szCs w:val="24"/>
        </w:rPr>
        <w:t>a co-founder of MSSQLTips.com.</w:t>
      </w:r>
    </w:p>
    <w:sectPr w:rsidR="008B6026" w:rsidRPr="006F04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546B1"/>
    <w:multiLevelType w:val="multilevel"/>
    <w:tmpl w:val="79F2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F7513C"/>
    <w:multiLevelType w:val="multilevel"/>
    <w:tmpl w:val="7B7EF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B41BA6"/>
    <w:multiLevelType w:val="multilevel"/>
    <w:tmpl w:val="D4F8E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B11D40"/>
    <w:multiLevelType w:val="multilevel"/>
    <w:tmpl w:val="BDEA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4FE"/>
    <w:rsid w:val="006F04FE"/>
    <w:rsid w:val="008B6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F04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6F04F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F04FE"/>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6F04F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6F04F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4FE"/>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F04F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F04F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6F04F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6F04FE"/>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6F04FE"/>
    <w:rPr>
      <w:color w:val="0000FF"/>
      <w:u w:val="single"/>
    </w:rPr>
  </w:style>
  <w:style w:type="paragraph" w:styleId="NormalWeb">
    <w:name w:val="Normal (Web)"/>
    <w:basedOn w:val="Normal"/>
    <w:uiPriority w:val="99"/>
    <w:semiHidden/>
    <w:unhideWhenUsed/>
    <w:rsid w:val="006F04FE"/>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6F0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F04FE"/>
    <w:rPr>
      <w:rFonts w:ascii="Courier New" w:eastAsia="Times New Roman" w:hAnsi="Courier New" w:cs="Courier New"/>
      <w:sz w:val="20"/>
      <w:szCs w:val="20"/>
    </w:rPr>
  </w:style>
  <w:style w:type="character" w:styleId="Strong">
    <w:name w:val="Strong"/>
    <w:basedOn w:val="DefaultParagraphFont"/>
    <w:uiPriority w:val="22"/>
    <w:qFormat/>
    <w:rsid w:val="006F04FE"/>
    <w:rPr>
      <w:b/>
      <w:bCs/>
    </w:rPr>
  </w:style>
  <w:style w:type="paragraph" w:styleId="BalloonText">
    <w:name w:val="Balloon Text"/>
    <w:basedOn w:val="Normal"/>
    <w:link w:val="BalloonTextChar"/>
    <w:uiPriority w:val="99"/>
    <w:semiHidden/>
    <w:unhideWhenUsed/>
    <w:rsid w:val="006F0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4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F04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6F04F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F04FE"/>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6F04F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6F04F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4FE"/>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F04F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F04F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6F04F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6F04FE"/>
    <w:rPr>
      <w:rFonts w:ascii="Times New Roman" w:eastAsia="Times New Roman" w:hAnsi="Times New Roman" w:cs="Times New Roman"/>
      <w:b/>
      <w:bCs/>
      <w:sz w:val="15"/>
      <w:szCs w:val="15"/>
    </w:rPr>
  </w:style>
  <w:style w:type="character" w:styleId="Hyperlink">
    <w:name w:val="Hyperlink"/>
    <w:basedOn w:val="DefaultParagraphFont"/>
    <w:uiPriority w:val="99"/>
    <w:semiHidden/>
    <w:unhideWhenUsed/>
    <w:rsid w:val="006F04FE"/>
    <w:rPr>
      <w:color w:val="0000FF"/>
      <w:u w:val="single"/>
    </w:rPr>
  </w:style>
  <w:style w:type="paragraph" w:styleId="NormalWeb">
    <w:name w:val="Normal (Web)"/>
    <w:basedOn w:val="Normal"/>
    <w:uiPriority w:val="99"/>
    <w:semiHidden/>
    <w:unhideWhenUsed/>
    <w:rsid w:val="006F04FE"/>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6F0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F04FE"/>
    <w:rPr>
      <w:rFonts w:ascii="Courier New" w:eastAsia="Times New Roman" w:hAnsi="Courier New" w:cs="Courier New"/>
      <w:sz w:val="20"/>
      <w:szCs w:val="20"/>
    </w:rPr>
  </w:style>
  <w:style w:type="character" w:styleId="Strong">
    <w:name w:val="Strong"/>
    <w:basedOn w:val="DefaultParagraphFont"/>
    <w:uiPriority w:val="22"/>
    <w:qFormat/>
    <w:rsid w:val="006F04FE"/>
    <w:rPr>
      <w:b/>
      <w:bCs/>
    </w:rPr>
  </w:style>
  <w:style w:type="paragraph" w:styleId="BalloonText">
    <w:name w:val="Balloon Text"/>
    <w:basedOn w:val="Normal"/>
    <w:link w:val="BalloonTextChar"/>
    <w:uiPriority w:val="99"/>
    <w:semiHidden/>
    <w:unhideWhenUsed/>
    <w:rsid w:val="006F0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4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033485">
      <w:bodyDiv w:val="1"/>
      <w:marLeft w:val="0"/>
      <w:marRight w:val="0"/>
      <w:marTop w:val="0"/>
      <w:marBottom w:val="0"/>
      <w:divBdr>
        <w:top w:val="none" w:sz="0" w:space="0" w:color="auto"/>
        <w:left w:val="none" w:sz="0" w:space="0" w:color="auto"/>
        <w:bottom w:val="none" w:sz="0" w:space="0" w:color="auto"/>
        <w:right w:val="none" w:sz="0" w:space="0" w:color="auto"/>
      </w:divBdr>
      <w:divsChild>
        <w:div w:id="2007636107">
          <w:marLeft w:val="0"/>
          <w:marRight w:val="0"/>
          <w:marTop w:val="0"/>
          <w:marBottom w:val="0"/>
          <w:divBdr>
            <w:top w:val="none" w:sz="0" w:space="0" w:color="auto"/>
            <w:left w:val="none" w:sz="0" w:space="0" w:color="auto"/>
            <w:bottom w:val="none" w:sz="0" w:space="0" w:color="auto"/>
            <w:right w:val="none" w:sz="0" w:space="0" w:color="auto"/>
          </w:divBdr>
        </w:div>
        <w:div w:id="577595839">
          <w:marLeft w:val="0"/>
          <w:marRight w:val="0"/>
          <w:marTop w:val="0"/>
          <w:marBottom w:val="0"/>
          <w:divBdr>
            <w:top w:val="none" w:sz="0" w:space="0" w:color="auto"/>
            <w:left w:val="none" w:sz="0" w:space="0" w:color="auto"/>
            <w:bottom w:val="none" w:sz="0" w:space="0" w:color="auto"/>
            <w:right w:val="none" w:sz="0" w:space="0" w:color="auto"/>
          </w:divBdr>
        </w:div>
        <w:div w:id="1918782122">
          <w:marLeft w:val="0"/>
          <w:marRight w:val="0"/>
          <w:marTop w:val="0"/>
          <w:marBottom w:val="0"/>
          <w:divBdr>
            <w:top w:val="none" w:sz="0" w:space="0" w:color="auto"/>
            <w:left w:val="none" w:sz="0" w:space="0" w:color="auto"/>
            <w:bottom w:val="none" w:sz="0" w:space="0" w:color="auto"/>
            <w:right w:val="none" w:sz="0" w:space="0" w:color="auto"/>
          </w:divBdr>
        </w:div>
        <w:div w:id="202333037">
          <w:marLeft w:val="0"/>
          <w:marRight w:val="0"/>
          <w:marTop w:val="0"/>
          <w:marBottom w:val="0"/>
          <w:divBdr>
            <w:top w:val="none" w:sz="0" w:space="0" w:color="auto"/>
            <w:left w:val="none" w:sz="0" w:space="0" w:color="auto"/>
            <w:bottom w:val="none" w:sz="0" w:space="0" w:color="auto"/>
            <w:right w:val="none" w:sz="0" w:space="0" w:color="auto"/>
          </w:divBdr>
        </w:div>
        <w:div w:id="339698240">
          <w:marLeft w:val="0"/>
          <w:marRight w:val="0"/>
          <w:marTop w:val="0"/>
          <w:marBottom w:val="0"/>
          <w:divBdr>
            <w:top w:val="none" w:sz="0" w:space="0" w:color="auto"/>
            <w:left w:val="none" w:sz="0" w:space="0" w:color="auto"/>
            <w:bottom w:val="none" w:sz="0" w:space="0" w:color="auto"/>
            <w:right w:val="none" w:sz="0" w:space="0" w:color="auto"/>
          </w:divBdr>
        </w:div>
        <w:div w:id="1515413344">
          <w:marLeft w:val="0"/>
          <w:marRight w:val="0"/>
          <w:marTop w:val="0"/>
          <w:marBottom w:val="0"/>
          <w:divBdr>
            <w:top w:val="none" w:sz="0" w:space="0" w:color="auto"/>
            <w:left w:val="none" w:sz="0" w:space="0" w:color="auto"/>
            <w:bottom w:val="none" w:sz="0" w:space="0" w:color="auto"/>
            <w:right w:val="none" w:sz="0" w:space="0" w:color="auto"/>
          </w:divBdr>
        </w:div>
        <w:div w:id="177888341">
          <w:marLeft w:val="0"/>
          <w:marRight w:val="0"/>
          <w:marTop w:val="0"/>
          <w:marBottom w:val="0"/>
          <w:divBdr>
            <w:top w:val="none" w:sz="0" w:space="0" w:color="auto"/>
            <w:left w:val="none" w:sz="0" w:space="0" w:color="auto"/>
            <w:bottom w:val="none" w:sz="0" w:space="0" w:color="auto"/>
            <w:right w:val="none" w:sz="0" w:space="0" w:color="auto"/>
          </w:divBdr>
        </w:div>
        <w:div w:id="1179782652">
          <w:marLeft w:val="0"/>
          <w:marRight w:val="0"/>
          <w:marTop w:val="0"/>
          <w:marBottom w:val="0"/>
          <w:divBdr>
            <w:top w:val="none" w:sz="0" w:space="0" w:color="auto"/>
            <w:left w:val="none" w:sz="0" w:space="0" w:color="auto"/>
            <w:bottom w:val="none" w:sz="0" w:space="0" w:color="auto"/>
            <w:right w:val="none" w:sz="0" w:space="0" w:color="auto"/>
          </w:divBdr>
        </w:div>
        <w:div w:id="1952546305">
          <w:marLeft w:val="0"/>
          <w:marRight w:val="0"/>
          <w:marTop w:val="0"/>
          <w:marBottom w:val="0"/>
          <w:divBdr>
            <w:top w:val="none" w:sz="0" w:space="0" w:color="auto"/>
            <w:left w:val="none" w:sz="0" w:space="0" w:color="auto"/>
            <w:bottom w:val="none" w:sz="0" w:space="0" w:color="auto"/>
            <w:right w:val="none" w:sz="0" w:space="0" w:color="auto"/>
          </w:divBdr>
        </w:div>
        <w:div w:id="608389344">
          <w:marLeft w:val="0"/>
          <w:marRight w:val="0"/>
          <w:marTop w:val="0"/>
          <w:marBottom w:val="0"/>
          <w:divBdr>
            <w:top w:val="none" w:sz="0" w:space="0" w:color="auto"/>
            <w:left w:val="none" w:sz="0" w:space="0" w:color="auto"/>
            <w:bottom w:val="none" w:sz="0" w:space="0" w:color="auto"/>
            <w:right w:val="none" w:sz="0" w:space="0" w:color="auto"/>
          </w:divBdr>
        </w:div>
        <w:div w:id="1539321995">
          <w:marLeft w:val="0"/>
          <w:marRight w:val="0"/>
          <w:marTop w:val="0"/>
          <w:marBottom w:val="0"/>
          <w:divBdr>
            <w:top w:val="none" w:sz="0" w:space="0" w:color="auto"/>
            <w:left w:val="none" w:sz="0" w:space="0" w:color="auto"/>
            <w:bottom w:val="none" w:sz="0" w:space="0" w:color="auto"/>
            <w:right w:val="none" w:sz="0" w:space="0" w:color="auto"/>
          </w:divBdr>
        </w:div>
        <w:div w:id="1817797304">
          <w:marLeft w:val="0"/>
          <w:marRight w:val="0"/>
          <w:marTop w:val="0"/>
          <w:marBottom w:val="0"/>
          <w:divBdr>
            <w:top w:val="none" w:sz="0" w:space="0" w:color="auto"/>
            <w:left w:val="none" w:sz="0" w:space="0" w:color="auto"/>
            <w:bottom w:val="none" w:sz="0" w:space="0" w:color="auto"/>
            <w:right w:val="none" w:sz="0" w:space="0" w:color="auto"/>
          </w:divBdr>
        </w:div>
        <w:div w:id="1689793733">
          <w:marLeft w:val="0"/>
          <w:marRight w:val="0"/>
          <w:marTop w:val="0"/>
          <w:marBottom w:val="0"/>
          <w:divBdr>
            <w:top w:val="none" w:sz="0" w:space="0" w:color="auto"/>
            <w:left w:val="none" w:sz="0" w:space="0" w:color="auto"/>
            <w:bottom w:val="none" w:sz="0" w:space="0" w:color="auto"/>
            <w:right w:val="none" w:sz="0" w:space="0" w:color="auto"/>
          </w:divBdr>
        </w:div>
        <w:div w:id="179662106">
          <w:marLeft w:val="0"/>
          <w:marRight w:val="0"/>
          <w:marTop w:val="0"/>
          <w:marBottom w:val="0"/>
          <w:divBdr>
            <w:top w:val="none" w:sz="0" w:space="0" w:color="auto"/>
            <w:left w:val="none" w:sz="0" w:space="0" w:color="auto"/>
            <w:bottom w:val="none" w:sz="0" w:space="0" w:color="auto"/>
            <w:right w:val="none" w:sz="0" w:space="0" w:color="auto"/>
          </w:divBdr>
        </w:div>
        <w:div w:id="1614629321">
          <w:marLeft w:val="0"/>
          <w:marRight w:val="0"/>
          <w:marTop w:val="0"/>
          <w:marBottom w:val="0"/>
          <w:divBdr>
            <w:top w:val="none" w:sz="0" w:space="0" w:color="auto"/>
            <w:left w:val="none" w:sz="0" w:space="0" w:color="auto"/>
            <w:bottom w:val="none" w:sz="0" w:space="0" w:color="auto"/>
            <w:right w:val="none" w:sz="0" w:space="0" w:color="auto"/>
          </w:divBdr>
          <w:divsChild>
            <w:div w:id="61455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sqltips.com/sqlservertip/1232/remove-some-sql-server-blocking-issues-with-the-nolock-hint/" TargetMode="External"/><Relationship Id="rId13" Type="http://schemas.openxmlformats.org/officeDocument/2006/relationships/hyperlink" Target="https://www.mssqltips.com/sqlservertip/1253/sql-server-dba-concurrency-and-locking-interview-questions/" TargetMode="External"/><Relationship Id="rId18" Type="http://schemas.openxmlformats.org/officeDocument/2006/relationships/image" Target="media/image3.gif"/><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6.gif"/><Relationship Id="rId7" Type="http://schemas.openxmlformats.org/officeDocument/2006/relationships/hyperlink" Target="https://www.mssqltips.com/sqlservertip/2470/understanding-the-sql-server-nolock-hint/" TargetMode="External"/><Relationship Id="rId12" Type="http://schemas.openxmlformats.org/officeDocument/2006/relationships/hyperlink" Target="https://www.mssqltips.com/sqlservertip/1485/using-sql-server-indexes-to-bypass-locks/" TargetMode="External"/><Relationship Id="rId17" Type="http://schemas.openxmlformats.org/officeDocument/2006/relationships/image" Target="media/image2.gif"/><Relationship Id="rId25"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1.gif"/><Relationship Id="rId20" Type="http://schemas.openxmlformats.org/officeDocument/2006/relationships/image" Target="media/image5.gif"/><Relationship Id="rId1" Type="http://schemas.openxmlformats.org/officeDocument/2006/relationships/numbering" Target="numbering.xml"/><Relationship Id="rId6" Type="http://schemas.openxmlformats.org/officeDocument/2006/relationships/hyperlink" Target="https://www.mssqltips.com/sqlserverauthor/37/greg-robidoux/" TargetMode="External"/><Relationship Id="rId11" Type="http://schemas.openxmlformats.org/officeDocument/2006/relationships/hyperlink" Target="https://www.mssqltips.com/sqlservertip/1257/processing-data-queues-in-sql-server-with-readpast-and-updlock/" TargetMode="External"/><Relationship Id="rId24" Type="http://schemas.openxmlformats.org/officeDocument/2006/relationships/hyperlink" Target="https://www.mssqltips.com/sqlservertip/1253/sql-server-dba-concurrency-and-locking-interview-questions/" TargetMode="External"/><Relationship Id="rId5" Type="http://schemas.openxmlformats.org/officeDocument/2006/relationships/webSettings" Target="webSettings.xml"/><Relationship Id="rId15" Type="http://schemas.openxmlformats.org/officeDocument/2006/relationships/hyperlink" Target="https://www.mssqltips.com/sql-server-tip-category/61/locking-and-blocking/" TargetMode="External"/><Relationship Id="rId23" Type="http://schemas.openxmlformats.org/officeDocument/2006/relationships/hyperlink" Target="https://www.mssqltips.com/sqlservertip/1081/snapshot-isolation-in-sql-server-2005/" TargetMode="External"/><Relationship Id="rId10" Type="http://schemas.openxmlformats.org/officeDocument/2006/relationships/hyperlink" Target="https://www.mssqltips.com/sqlservertip/2470/understanding-the-sql-server-nolock-hint/" TargetMode="External"/><Relationship Id="rId19"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hyperlink" Target="https://www.mssqltips.com/sqlservertip/1646/execute-sql-server-select-command-without-locking/" TargetMode="External"/><Relationship Id="rId14" Type="http://schemas.openxmlformats.org/officeDocument/2006/relationships/hyperlink" Target="https://www.mssqltips.com/sql-server-dba-resources/" TargetMode="External"/><Relationship Id="rId22" Type="http://schemas.openxmlformats.org/officeDocument/2006/relationships/hyperlink" Target="http://msdn.microsoft.com/en-us/library/ms190805.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1314</Words>
  <Characters>7492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 Jordaan</cp:lastModifiedBy>
  <cp:revision>1</cp:revision>
  <dcterms:created xsi:type="dcterms:W3CDTF">2016-05-28T18:54:00Z</dcterms:created>
  <dcterms:modified xsi:type="dcterms:W3CDTF">2016-05-28T18:56:00Z</dcterms:modified>
</cp:coreProperties>
</file>